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pPr>
      <w:r>
        <w:rPr>
          <w:rFonts w:ascii="Arial" w:hAnsi="Arial"/>
          <w:b/>
          <w:i w:val="0"/>
          <w:color w:val="193752"/>
          <w:sz w:val="46"/>
        </w:rPr>
        <w:t>LEGAL DISCLAIMER</w:t>
      </w:r>
    </w:p>
    <w:p>
      <w:pPr>
        <w:spacing w:after="280"/>
      </w:pPr>
      <w:r>
        <w:rPr>
          <w:rFonts w:ascii="Arial" w:hAnsi="Arial"/>
          <w:b w:val="0"/>
          <w:i w:val="0"/>
          <w:color w:val="5C656E"/>
          <w:sz w:val="24"/>
        </w:rPr>
        <w:t>Important limitations concerning website content and regulatory services</w:t>
      </w:r>
    </w:p>
    <w:p>
      <w:pPr>
        <w:spacing w:after="40"/>
      </w:pPr>
      <w:r>
        <w:rPr>
          <w:rFonts w:ascii="Arial" w:hAnsi="Arial"/>
          <w:b/>
          <w:i w:val="0"/>
          <w:sz w:val="19"/>
        </w:rPr>
        <w:t xml:space="preserve">Provider: </w:t>
      </w:r>
      <w:r>
        <w:rPr>
          <w:rFonts w:ascii="Arial" w:hAnsi="Arial"/>
          <w:b w:val="0"/>
          <w:i w:val="0"/>
          <w:sz w:val="19"/>
        </w:rPr>
        <w:t>Regulora Legal Consultancy LLC</w:t>
      </w:r>
    </w:p>
    <w:p>
      <w:pPr>
        <w:spacing w:after="40"/>
      </w:pPr>
      <w:r>
        <w:rPr>
          <w:rFonts w:ascii="Arial" w:hAnsi="Arial"/>
          <w:b/>
          <w:i w:val="0"/>
          <w:sz w:val="19"/>
        </w:rPr>
        <w:t xml:space="preserve">Offices: 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w:t>
      </w:r>
      <w:r>
        <w:rPr>
          <w:rFonts w:ascii="Arial" w:hAnsi="Arial"/>
          <w:b w:val="0"/>
          <w:i w:val="0"/>
          <w:sz w:val="19"/>
        </w:rPr>
        <w:t/>
      </w:r>
    </w:p>
    <w:p>
      <w:pPr>
        <w:spacing w:after="40"/>
      </w:pPr>
      <w:r>
        <w:rPr>
          <w:rFonts w:ascii="Arial" w:hAnsi="Arial"/>
          <w:b/>
          <w:i w:val="0"/>
          <w:sz w:val="19"/>
        </w:rPr>
        <w:t xml:space="preserve">Commercial licence: </w:t>
      </w:r>
      <w:r>
        <w:rPr>
          <w:rFonts w:ascii="Arial" w:hAnsi="Arial"/>
          <w:b w:val="0"/>
          <w:i w:val="0"/>
          <w:sz w:val="19"/>
        </w:rPr>
        <w:t>DMCC-74289, issued by Dubai Multi Commodities Centre (DMCC)</w:t>
      </w:r>
    </w:p>
    <w:p>
      <w:pPr>
        <w:spacing w:after="40"/>
      </w:pPr>
      <w:r>
        <w:rPr>
          <w:rFonts w:ascii="Arial" w:hAnsi="Arial"/>
          <w:b/>
          <w:i w:val="0"/>
          <w:sz w:val="19"/>
        </w:rPr>
        <w:t xml:space="preserve">Effective date: </w:t>
      </w:r>
      <w:r>
        <w:rPr>
          <w:rFonts w:ascii="Arial" w:hAnsi="Arial"/>
          <w:b w:val="0"/>
          <w:i w:val="0"/>
          <w:sz w:val="19"/>
        </w:rPr>
        <w:t>25 August 2026</w:t>
      </w:r>
    </w:p>
    <w:p>
      <w:pPr>
        <w:spacing w:after="40"/>
      </w:pPr>
      <w:r>
        <w:rPr>
          <w:rFonts w:ascii="Arial" w:hAnsi="Arial"/>
          <w:b/>
          <w:i w:val="0"/>
          <w:sz w:val="19"/>
        </w:rPr>
        <w:t xml:space="preserve">Website: </w:t>
      </w:r>
      <w:r>
        <w:rPr>
          <w:rFonts w:ascii="Arial" w:hAnsi="Arial"/>
          <w:b w:val="0"/>
          <w:i w:val="0"/>
          <w:sz w:val="19"/>
        </w:rPr>
        <w:t>https://regulora.net</w:t>
      </w:r>
    </w:p>
    <w:p>
      <w:pPr>
        <w:pStyle w:val="Heading1"/>
      </w:pPr>
      <w:r>
        <w:t>1. General information only</w:t>
      </w:r>
    </w:p>
    <w:p>
      <w:pPr>
        <w:keepLines/>
      </w:pPr>
      <w:r>
        <w:rPr>
          <w:rFonts w:ascii="Arial" w:hAnsi="Arial"/>
          <w:b w:val="0"/>
          <w:i w:val="0"/>
          <w:sz w:val="21"/>
        </w:rPr>
        <w:t>All information on the website, including articles, guides, jurisdiction comparisons, timelines, fees, eligibility descriptions and answers to frequently asked questions, is general information only. It is not a legal opinion tailored to a particular person, business, product or jurisdiction and should not be treated as tax, accounting, investment, financial or technical advice.</w:t>
      </w:r>
    </w:p>
    <w:p>
      <w:pPr>
        <w:pStyle w:val="Heading1"/>
      </w:pPr>
      <w:r>
        <w:t>2. No professional relationship from website use</w:t>
      </w:r>
    </w:p>
    <w:p>
      <w:pPr>
        <w:keepLines/>
      </w:pPr>
      <w:r>
        <w:rPr>
          <w:rFonts w:ascii="Arial" w:hAnsi="Arial"/>
          <w:b w:val="0"/>
          <w:i w:val="0"/>
          <w:sz w:val="21"/>
        </w:rPr>
        <w:t>Accessing the website, downloading material, submitting an enquiry or participating in an introductory consultation does not by itself create a lawyer-client, consultant-client, fiduciary or confidential professional relationship. Such a relationship begins only after Regulora expressly accepts an engagement in writing and any required onboarding and payment conditions are met.</w:t>
      </w:r>
    </w:p>
    <w:p>
      <w:pPr>
        <w:pStyle w:val="Heading1"/>
      </w:pPr>
      <w:r>
        <w:t>3. No approval guarantee</w:t>
      </w:r>
    </w:p>
    <w:p>
      <w:pPr>
        <w:keepLines/>
      </w:pPr>
      <w:r>
        <w:rPr>
          <w:rFonts w:ascii="Arial" w:hAnsi="Arial"/>
          <w:b w:val="0"/>
          <w:i w:val="0"/>
          <w:sz w:val="21"/>
        </w:rPr>
        <w:t>Licensing and other regulatory decisions are made solely by the competent authorities and may depend on ownership, management, source of funds, business model, technology, target markets, local substance and other factors. Regulora cannot compel approval, prevent additional requirements or guarantee a processing time.</w:t>
      </w:r>
    </w:p>
    <w:p>
      <w:pPr>
        <w:keepLines/>
      </w:pPr>
      <w:r>
        <w:rPr>
          <w:rFonts w:ascii="Arial" w:hAnsi="Arial"/>
          <w:b w:val="0"/>
          <w:i w:val="0"/>
          <w:sz w:val="21"/>
        </w:rPr>
        <w:t>Any statement referring to a "100% refund if the licence is not approved" is a contractual promotional benefit, not a guarantee of approval. It applies only to eligible professional service fees and only where the client fully and accurately supplies all requested documents and information, complies with the process and satisfies every condition in clause 8 of the Public Offer. Government, regulator and third-party costs are excluded.</w:t>
      </w:r>
    </w:p>
    <w:p>
      <w:pPr>
        <w:pStyle w:val="Heading1"/>
      </w:pPr>
      <w:r>
        <w:t>4. Complimentary consultation limitation</w:t>
      </w:r>
    </w:p>
    <w:p>
      <w:pPr>
        <w:keepLines/>
      </w:pPr>
      <w:r>
        <w:rPr>
          <w:rFonts w:ascii="Arial" w:hAnsi="Arial"/>
          <w:b w:val="0"/>
          <w:i w:val="0"/>
          <w:sz w:val="21"/>
        </w:rPr>
        <w:t>Any statement referring to "free legal consultation for one year" means the limited Twelve-Month Complimentary Consultation Benefit described in clause 9 of the Public Offer: up to 12 consultations of up to 30 minutes each, or equivalent short written responses, relating directly to the purchased licence route. It does not include new applications, appeals, litigation, formal opinions, drafting, audits, submissions or substantial research.</w:t>
      </w:r>
    </w:p>
    <w:p>
      <w:pPr>
        <w:pStyle w:val="Heading1"/>
      </w:pPr>
      <w:r>
        <w:t>5. Changing laws and third-party information</w:t>
      </w:r>
    </w:p>
    <w:p>
      <w:pPr>
        <w:keepLines/>
      </w:pPr>
      <w:r>
        <w:rPr>
          <w:rFonts w:ascii="Arial" w:hAnsi="Arial"/>
          <w:b w:val="0"/>
          <w:i w:val="0"/>
          <w:sz w:val="21"/>
        </w:rPr>
        <w:t>Licensing rules, regulator practices, fees, market-access restrictions and application requirements change frequently and may do so without advance notice. Website content may become incomplete or outdated. References to regulators, jurisdictions, software providers or other third parties do not imply endorsement, affiliation or assurance of their conduct.</w:t>
      </w:r>
    </w:p>
    <w:p>
      <w:pPr>
        <w:pStyle w:val="Heading1"/>
      </w:pPr>
      <w:r>
        <w:t>6. Jurisdiction and market access</w:t>
      </w:r>
    </w:p>
    <w:p>
      <w:pPr>
        <w:keepLines/>
      </w:pPr>
      <w:r>
        <w:rPr>
          <w:rFonts w:ascii="Arial" w:hAnsi="Arial"/>
          <w:b w:val="0"/>
          <w:i w:val="0"/>
          <w:sz w:val="21"/>
        </w:rPr>
        <w:t>A licence issued in one jurisdiction does not automatically authorise activity in another. Operators remain responsible for obtaining advice and approvals for every market they target, including rules concerning advertising, consumer protection, data, payments, taxation, anti-money-laundering and responsible gaming. Regulora does not advise users to conduct any activity prohibited in their location.</w:t>
      </w:r>
    </w:p>
    <w:p>
      <w:pPr>
        <w:pStyle w:val="Heading1"/>
      </w:pPr>
      <w:r>
        <w:t>7. Reliance and limitation of responsibility</w:t>
      </w:r>
    </w:p>
    <w:p>
      <w:pPr>
        <w:keepLines/>
      </w:pPr>
      <w:r>
        <w:rPr>
          <w:rFonts w:ascii="Arial" w:hAnsi="Arial"/>
          <w:b w:val="0"/>
          <w:i w:val="0"/>
          <w:sz w:val="21"/>
        </w:rPr>
        <w:t>You should obtain advice based on your facts before acting. To the maximum extent permitted by law, Regulora is not responsible for loss resulting from reliance on general website information, use of third-party links, or decisions made without a written engagement. Nothing in this Disclaimer excludes liability that cannot lawfully be excluded, including fraud or wilful misconduct.</w:t>
      </w:r>
    </w:p>
    <w:p>
      <w:pPr>
        <w:pStyle w:val="Heading1"/>
      </w:pPr>
      <w:r>
        <w:t>8. External links</w:t>
      </w:r>
    </w:p>
    <w:p>
      <w:pPr>
        <w:keepLines/>
      </w:pPr>
      <w:r>
        <w:rPr>
          <w:rFonts w:ascii="Arial" w:hAnsi="Arial"/>
          <w:b w:val="0"/>
          <w:i w:val="0"/>
          <w:sz w:val="21"/>
        </w:rPr>
        <w:t>External links are provided for convenience. Regulora does not control third-party content, security, availability or privacy practices and makes no representation that third-party information is accurate or current.</w:t>
      </w:r>
    </w:p>
    <w:p>
      <w:pPr>
        <w:pStyle w:val="Heading1"/>
      </w:pPr>
      <w:r>
        <w:t>9. Language and prevailing terms</w:t>
      </w:r>
    </w:p>
    <w:p>
      <w:pPr>
        <w:keepLines/>
      </w:pPr>
      <w:r>
        <w:rPr>
          <w:rFonts w:ascii="Arial" w:hAnsi="Arial"/>
          <w:b w:val="0"/>
          <w:i w:val="0"/>
          <w:sz w:val="21"/>
        </w:rPr>
        <w:t>Translations may be provided for convenience. Unless mandatory law requires otherwise, the English version prevails in the event of inconsistency. This Disclaimer must be read with the Website Terms and Conditions, Public Offer and Privacy Policy. A signed engagement document prevails for the specific paid service.</w:t>
      </w:r>
    </w:p>
    <w:p>
      <w:pPr>
        <w:pStyle w:val="Heading1"/>
      </w:pPr>
      <w:r>
        <w:t>Contact details</w:t>
      </w:r>
    </w:p>
    <w:p>
      <w:pPr>
        <w:spacing w:after="0" w:line="240" w:lineRule="auto"/>
      </w:pPr>
      <w:r>
        <w:rPr>
          <w:rFonts w:ascii="Arial" w:hAnsi="Arial"/>
          <w:b w:val="0"/>
          <w:i w:val="0"/>
          <w:sz w:val="17"/>
        </w:rPr>
        <w:t>Regulora Legal Consultancy LLC</w:t>
        <w:br/>
        <w:t>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w:t>
        <w:br/>
        <w:t>General enquiries: info@regulora.net</w:t>
        <w:br/>
        <w:t>Legal notices: legal@regulora.net</w:t>
        <w:br/>
        <w:t>Privacy enquiries: privacy@regulora.net</w:t>
        <w:br/>
        <w:t>Refund claims: refunds@regulora.net</w:t>
        <w:br/>
        <w:t>Commercial licensing authority: Dubai Multi Commodities Centre (DMCC)</w:t>
        <w:br/>
        <w:t>Trade licence number: DMCC-74289</w:t>
        <w:br/>
        <w:t>Licence type: Professional License</w:t>
        <w:br/>
        <w:t>Licensed activity: Legal Consultancy Services</w:t>
        <w:br/>
        <w:t>Licence validity: 15 January 2025 to 14 January 2028</w:t>
      </w:r>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C656E"/>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i w:val="0"/>
        <w:color w:val="5C656E"/>
        <w:sz w:val="17"/>
      </w:rPr>
      <w:t>REGULORA LEGAL CONSULTANCY LLC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color w:val="181C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193752"/>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193752"/>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19375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Regulora Legal Consultancy LLC</dc:creator>
  <cp:keywords/>
  <dc:description>Public-facing website legal document. Counsel review required before publication.</dc:description>
  <cp:lastModifiedBy/>
  <cp:revision>1</cp:revision>
  <dcterms:created xsi:type="dcterms:W3CDTF">2013-12-23T23:15:00Z</dcterms:created>
  <dcterms:modified xsi:type="dcterms:W3CDTF">2013-12-23T23:15:00Z</dcterms:modified>
  <cp:category/>
</cp:coreProperties>
</file>